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6067DE" w:rsidRPr="006067DE" w14:paraId="2F6E4577" w14:textId="77777777" w:rsidTr="006067DE">
        <w:tc>
          <w:tcPr>
            <w:tcW w:w="0" w:type="auto"/>
            <w:shd w:val="clear" w:color="auto" w:fill="1A2856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067DE" w:rsidRPr="006067DE" w14:paraId="7B549C75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6067DE" w:rsidRPr="006067DE" w14:paraId="5AD9B6D5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50"/>
                        </w:tblGrid>
                        <w:tr w:rsidR="006067DE" w:rsidRPr="006067DE" w14:paraId="4E0E1282" w14:textId="77777777">
                          <w:tc>
                            <w:tcPr>
                              <w:tcW w:w="0" w:type="auto"/>
                              <w:shd w:val="clear" w:color="auto" w:fill="D4D6D7"/>
                              <w:tcMar>
                                <w:top w:w="150" w:type="dxa"/>
                                <w:left w:w="0" w:type="dxa"/>
                                <w:bottom w:w="225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14:paraId="3C6371B5" w14:textId="16186735" w:rsidR="006067DE" w:rsidRPr="006067DE" w:rsidRDefault="006067DE" w:rsidP="006067DE">
                              <w:r w:rsidRPr="006067DE">
                                <w:drawing>
                                  <wp:inline distT="0" distB="0" distL="0" distR="0" wp14:anchorId="0013A54D" wp14:editId="6D59A82E">
                                    <wp:extent cx="1428750" cy="387350"/>
                                    <wp:effectExtent l="0" t="0" r="0" b="0"/>
                                    <wp:docPr id="1740260779" name="Picture 6" descr="eMoney Logo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 descr="eMoney Logo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28750" cy="387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14:paraId="0CE8D255" w14:textId="77777777" w:rsidR="006067DE" w:rsidRPr="006067DE" w:rsidRDefault="006067DE" w:rsidP="006067DE"/>
                    </w:tc>
                  </w:tr>
                </w:tbl>
                <w:p w14:paraId="6D47ECCE" w14:textId="77777777" w:rsidR="006067DE" w:rsidRPr="006067DE" w:rsidRDefault="006067DE" w:rsidP="006067DE"/>
              </w:tc>
            </w:tr>
          </w:tbl>
          <w:p w14:paraId="78033DFF" w14:textId="77777777" w:rsidR="006067DE" w:rsidRPr="006067DE" w:rsidRDefault="006067DE" w:rsidP="006067DE"/>
        </w:tc>
      </w:tr>
    </w:tbl>
    <w:p w14:paraId="346BBA60" w14:textId="77777777" w:rsidR="006067DE" w:rsidRPr="006067DE" w:rsidRDefault="006067DE" w:rsidP="006067DE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6067DE" w:rsidRPr="006067DE" w14:paraId="60B5D436" w14:textId="77777777" w:rsidTr="006067DE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067DE" w:rsidRPr="006067DE" w14:paraId="13CDBCAB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6067DE" w:rsidRPr="006067DE" w14:paraId="614A1290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067DE" w:rsidRPr="006067DE" w14:paraId="75C23550" w14:textId="77777777"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14:paraId="23D9CE0B" w14:textId="7B201CBB" w:rsidR="006067DE" w:rsidRPr="006067DE" w:rsidRDefault="006067DE" w:rsidP="006067DE">
                              <w:r w:rsidRPr="006067DE">
                                <w:drawing>
                                  <wp:inline distT="0" distB="0" distL="0" distR="0" wp14:anchorId="0CB924F0" wp14:editId="659DAF44">
                                    <wp:extent cx="5715000" cy="1168400"/>
                                    <wp:effectExtent l="0" t="0" r="0" b="0"/>
                                    <wp:docPr id="1369584391" name="Picture 5" descr="A blue background with white text&#10;&#10;AI-generated content may be incorrect.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69584391" name="Picture 5" descr="A blue background with white text&#10;&#10;AI-generated content may be incorrect.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15000" cy="1168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6067DE" w:rsidRPr="006067DE" w14:paraId="6D985E43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75" w:type="dxa"/>
                                <w:left w:w="450" w:type="dxa"/>
                                <w:bottom w:w="7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36843C8B" w14:textId="77777777" w:rsidR="006067DE" w:rsidRPr="006067DE" w:rsidRDefault="006067DE" w:rsidP="006067DE">
                              <w:r w:rsidRPr="006067DE">
                                <w:t>Hi Kristina,</w:t>
                              </w:r>
                            </w:p>
                            <w:p w14:paraId="0A136B5A" w14:textId="77777777" w:rsidR="006067DE" w:rsidRPr="006067DE" w:rsidRDefault="006067DE" w:rsidP="006067DE"/>
                            <w:p w14:paraId="260A20C8" w14:textId="77777777" w:rsidR="006067DE" w:rsidRPr="006067DE" w:rsidRDefault="006067DE" w:rsidP="006067DE">
                              <w:r w:rsidRPr="006067DE">
                                <w:t xml:space="preserve">Do your clients know what they need to do—but still struggle to </w:t>
                              </w:r>
                              <w:proofErr w:type="gramStart"/>
                              <w:r w:rsidRPr="006067DE">
                                <w:t>take action</w:t>
                              </w:r>
                              <w:proofErr w:type="gramEnd"/>
                              <w:r w:rsidRPr="006067DE">
                                <w:t>? Even when a financial plan is in place, clients can hesitate.</w:t>
                              </w:r>
                            </w:p>
                          </w:tc>
                        </w:tr>
                        <w:tr w:rsidR="006067DE" w:rsidRPr="006067DE" w14:paraId="088B871D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150" w:type="dxa"/>
                                <w:left w:w="450" w:type="dxa"/>
                                <w:bottom w:w="1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096526BB" w14:textId="77777777" w:rsidR="006067DE" w:rsidRPr="006067DE" w:rsidRDefault="006067DE" w:rsidP="006067DE">
                              <w:hyperlink r:id="rId6" w:anchor="/doccenter/f0df1be0-a572-401d-a8ab-36a5c6ded059/doc/%252Fddfa692c0f-5361-4411-8133-046e994bf35f%252FdfY2ZkNWIxNWEtZDYwYy00YWQ4LTkzZjAtZWNkMGRhODY4ZTYy%252CPT0%253D%252CQ2xpZW50IEV4cGVyaWVuY2U%253D%252Flf34567b03-8831-4d48-9e64-46cb231d8a18/grid/" w:tgtFrame="_blank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Motivating Clients to Act</w:t>
                                </w:r>
                              </w:hyperlink>
                            </w:p>
                          </w:tc>
                        </w:tr>
                        <w:tr w:rsidR="006067DE" w:rsidRPr="006067DE" w14:paraId="6997BBC0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6BCB1955" w14:textId="46C7E4F6" w:rsidR="006067DE" w:rsidRPr="006067DE" w:rsidRDefault="006067DE" w:rsidP="006067DE">
                              <w:r w:rsidRPr="006067DE">
                                <w:drawing>
                                  <wp:inline distT="0" distB="0" distL="0" distR="0" wp14:anchorId="35CAB3E0" wp14:editId="75AB46CC">
                                    <wp:extent cx="5143500" cy="3619500"/>
                                    <wp:effectExtent l="0" t="0" r="0" b="0"/>
                                    <wp:docPr id="1394790302" name="Picture 4">
                                      <a:hlinkClick xmlns:a="http://schemas.openxmlformats.org/drawingml/2006/main" r:id="rId7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8">
                                              <a:hlinkClick r:id="rId7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143500" cy="3619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6067DE" w:rsidRPr="006067DE" w14:paraId="1CD89CD1" w14:textId="77777777">
                          <w:tc>
                            <w:tcPr>
                              <w:tcW w:w="0" w:type="auto"/>
                              <w:shd w:val="clear" w:color="auto" w:fill="auto"/>
                              <w:tcMar>
                                <w:top w:w="300" w:type="dxa"/>
                                <w:left w:w="450" w:type="dxa"/>
                                <w:bottom w:w="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D0AA7E9" w14:textId="77777777" w:rsidR="006067DE" w:rsidRPr="006067DE" w:rsidRDefault="006067DE" w:rsidP="006067DE">
                              <w:r w:rsidRPr="006067DE">
                                <w:lastRenderedPageBreak/>
                                <w:t xml:space="preserve">This guide explores how to shift from advice-giving to </w:t>
                              </w:r>
                              <w:proofErr w:type="gramStart"/>
                              <w:r w:rsidRPr="006067DE">
                                <w:t>action-inspiring</w:t>
                              </w:r>
                              <w:proofErr w:type="gramEnd"/>
                              <w:r w:rsidRPr="006067DE">
                                <w:t>. Learn how to use </w:t>
                              </w:r>
                              <w:r w:rsidRPr="006067DE">
                                <w:rPr>
                                  <w:b/>
                                  <w:bCs/>
                                </w:rPr>
                                <w:t>motivational interviewing techniques to help clients overcome hesitation, clarify their goals, and feel confident moving forward.</w:t>
                              </w:r>
                            </w:p>
                          </w:tc>
                        </w:tr>
                        <w:tr w:rsidR="006067DE" w:rsidRPr="006067DE" w14:paraId="7BFEE115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300" w:type="dxa"/>
                                <w:bottom w:w="45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14:paraId="3D04CB7A" w14:textId="77777777" w:rsidR="006067DE" w:rsidRPr="006067DE" w:rsidRDefault="006067DE" w:rsidP="006067DE">
                              <w:hyperlink r:id="rId9" w:tgtFrame="_blank" w:tooltip="Register Now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Learn How </w:t>
                                </w:r>
                                <w:proofErr w:type="gramStart"/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To</w:t>
                                </w:r>
                                <w:proofErr w:type="gramEnd"/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 Turn Planning </w:t>
                                </w:r>
                                <w:proofErr w:type="gramStart"/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Into</w:t>
                                </w:r>
                                <w:proofErr w:type="gramEnd"/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 xml:space="preserve"> Progress</w:t>
                                </w:r>
                              </w:hyperlink>
                            </w:p>
                          </w:tc>
                        </w:tr>
                        <w:tr w:rsidR="006067DE" w:rsidRPr="006067DE" w14:paraId="397F3140" w14:textId="77777777">
                          <w:tc>
                            <w:tcPr>
                              <w:tcW w:w="0" w:type="auto"/>
                              <w:shd w:val="clear" w:color="auto" w:fill="1A6887"/>
                              <w:tcMar>
                                <w:top w:w="150" w:type="dxa"/>
                                <w:left w:w="450" w:type="dxa"/>
                                <w:bottom w:w="225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C0DD3B1" w14:textId="77777777" w:rsidR="006067DE" w:rsidRPr="006067DE" w:rsidRDefault="006067DE" w:rsidP="006067DE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6067DE">
                                <w:rPr>
                                  <w:b/>
                                  <w:bCs/>
                                </w:rPr>
                                <w:t>More Best Practices for Driving Client Action:</w:t>
                              </w:r>
                            </w:p>
                          </w:tc>
                        </w:tr>
                      </w:tbl>
                      <w:p w14:paraId="5F913924" w14:textId="77777777" w:rsidR="006067DE" w:rsidRPr="006067DE" w:rsidRDefault="006067DE" w:rsidP="006067DE"/>
                    </w:tc>
                  </w:tr>
                </w:tbl>
                <w:p w14:paraId="71B6FB25" w14:textId="77777777" w:rsidR="006067DE" w:rsidRPr="006067DE" w:rsidRDefault="006067DE" w:rsidP="006067DE"/>
              </w:tc>
            </w:tr>
          </w:tbl>
          <w:p w14:paraId="56CBBA45" w14:textId="77777777" w:rsidR="006067DE" w:rsidRPr="006067DE" w:rsidRDefault="006067DE" w:rsidP="006067DE"/>
        </w:tc>
      </w:tr>
    </w:tbl>
    <w:p w14:paraId="3A9B1214" w14:textId="77777777" w:rsidR="006067DE" w:rsidRPr="006067DE" w:rsidRDefault="006067DE" w:rsidP="006067DE">
      <w:pPr>
        <w:rPr>
          <w:vanish/>
        </w:rPr>
      </w:pPr>
    </w:p>
    <w:tbl>
      <w:tblPr>
        <w:tblW w:w="9000" w:type="dxa"/>
        <w:shd w:val="clear" w:color="auto" w:fill="D4D6D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6067DE" w:rsidRPr="006067DE" w14:paraId="6EEE9B7F" w14:textId="77777777" w:rsidTr="006067DE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6067DE" w:rsidRPr="006067DE" w14:paraId="201ACF60" w14:textId="77777777"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6067DE" w:rsidRPr="006067DE" w14:paraId="2E4A52AE" w14:textId="7777777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6067DE" w:rsidRPr="006067DE" w14:paraId="16BA252D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6A1169C5" w14:textId="77777777" w:rsidR="006067DE" w:rsidRPr="006067DE" w:rsidRDefault="006067DE" w:rsidP="006067DE">
                              <w:r w:rsidRPr="006067DE">
                                <w:rPr>
                                  <w:b/>
                                  <w:bCs/>
                                </w:rPr>
                                <w:t>ON-DEMAND WEBINAR</w:t>
                              </w:r>
                            </w:p>
                            <w:p w14:paraId="3913A8F9" w14:textId="77777777" w:rsidR="006067DE" w:rsidRPr="006067DE" w:rsidRDefault="006067DE" w:rsidP="006067DE">
                              <w:hyperlink r:id="rId10" w:tgtFrame="_blank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Improving Client Engagement and Satisfaction Through the Client Portal</w:t>
                                </w:r>
                              </w:hyperlink>
                            </w:p>
                            <w:p w14:paraId="42461C58" w14:textId="77777777" w:rsidR="006067DE" w:rsidRPr="006067DE" w:rsidRDefault="006067DE" w:rsidP="006067DE">
                              <w:hyperlink r:id="rId11" w:tgtFrame="_blank" w:history="1">
                                <w:r w:rsidRPr="006067DE">
                                  <w:rPr>
                                    <w:rStyle w:val="Hyperlink"/>
                                  </w:rPr>
                                  <w:t>Clients expect technology to be central to their financial planning, enhancing accessibility and communication. Watch this on-demand webinar to discover how a client portal drives satisfaction and strengthens relationships</w:t>
                                </w:r>
                              </w:hyperlink>
                              <w:r w:rsidRPr="006067DE">
                                <w:t>.</w:t>
                              </w:r>
                            </w:p>
                          </w:tc>
                        </w:tr>
                        <w:tr w:rsidR="006067DE" w:rsidRPr="006067DE" w14:paraId="6E8E2E73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7E30F494" w14:textId="77777777" w:rsidR="006067DE" w:rsidRPr="006067DE" w:rsidRDefault="006067DE" w:rsidP="006067DE">
                              <w:r w:rsidRPr="006067DE">
                                <w:rPr>
                                  <w:b/>
                                  <w:bCs/>
                                </w:rPr>
                                <w:t>BLOG</w:t>
                              </w:r>
                            </w:p>
                            <w:p w14:paraId="3723CBAD" w14:textId="77777777" w:rsidR="006067DE" w:rsidRPr="006067DE" w:rsidRDefault="006067DE" w:rsidP="006067DE">
                              <w:hyperlink r:id="rId12" w:tgtFrame="_blank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Driving Client Motivation Through Accountability Strategies</w:t>
                                </w:r>
                              </w:hyperlink>
                            </w:p>
                            <w:p w14:paraId="734973B3" w14:textId="77777777" w:rsidR="006067DE" w:rsidRPr="006067DE" w:rsidRDefault="006067DE" w:rsidP="006067DE">
                              <w:r w:rsidRPr="006067DE">
                                <w:t>Nurturing client motivation strengthens relationships and improves financial outcomes. By aligning plans with clients’ values and goals, you boost success and long-term commitment.</w:t>
                              </w:r>
                            </w:p>
                            <w:p w14:paraId="63E8A1A5" w14:textId="77777777" w:rsidR="006067DE" w:rsidRPr="006067DE" w:rsidRDefault="006067DE" w:rsidP="006067DE"/>
                          </w:tc>
                        </w:tr>
                        <w:tr w:rsidR="006067DE" w:rsidRPr="006067DE" w14:paraId="656A73E1" w14:textId="77777777">
                          <w:tc>
                            <w:tcPr>
                              <w:tcW w:w="0" w:type="auto"/>
                              <w:shd w:val="clear" w:color="auto" w:fill="FFFFFF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5F98E71D" w14:textId="77777777" w:rsidR="006067DE" w:rsidRPr="006067DE" w:rsidRDefault="006067DE" w:rsidP="006067DE">
                              <w:r w:rsidRPr="006067DE">
                                <w:rPr>
                                  <w:b/>
                                  <w:bCs/>
                                </w:rPr>
                                <w:t>PODCAST</w:t>
                              </w:r>
                            </w:p>
                            <w:p w14:paraId="07E72EC3" w14:textId="77777777" w:rsidR="006067DE" w:rsidRPr="006067DE" w:rsidRDefault="006067DE" w:rsidP="006067DE">
                              <w:hyperlink r:id="rId13" w:tgtFrame="_blank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Advisor Chat: Collaborative and Comprehensive Planning</w:t>
                                </w:r>
                              </w:hyperlink>
                            </w:p>
                            <w:p w14:paraId="4AF99F8B" w14:textId="77777777" w:rsidR="006067DE" w:rsidRPr="006067DE" w:rsidRDefault="006067DE" w:rsidP="006067DE">
                              <w:r w:rsidRPr="006067DE">
                                <w:t xml:space="preserve">In this episode, Ryan Coburn, CFP® of Atlas Private Wealth Advisors, shares how he uses eMoney for comprehensive financial planning and creating a </w:t>
                              </w:r>
                              <w:r w:rsidRPr="006067DE">
                                <w:lastRenderedPageBreak/>
                                <w:t>collaborative, engaging client experience. Learn more in this </w:t>
                              </w:r>
                              <w:r w:rsidRPr="006067DE">
                                <w:rPr>
                                  <w:i/>
                                  <w:iCs/>
                                </w:rPr>
                                <w:t>Knowledge Base Podcast.</w:t>
                              </w:r>
                            </w:p>
                          </w:tc>
                        </w:tr>
                        <w:tr w:rsidR="006067DE" w:rsidRPr="006067DE" w14:paraId="06F10A9C" w14:textId="77777777">
                          <w:tc>
                            <w:tcPr>
                              <w:tcW w:w="0" w:type="auto"/>
                              <w:shd w:val="clear" w:color="auto" w:fill="F2F5FD"/>
                              <w:tcMar>
                                <w:top w:w="450" w:type="dxa"/>
                                <w:left w:w="450" w:type="dxa"/>
                                <w:bottom w:w="450" w:type="dxa"/>
                                <w:right w:w="450" w:type="dxa"/>
                              </w:tcMar>
                              <w:vAlign w:val="center"/>
                              <w:hideMark/>
                            </w:tcPr>
                            <w:p w14:paraId="3FEC7D84" w14:textId="77777777" w:rsidR="006067DE" w:rsidRPr="006067DE" w:rsidRDefault="006067DE" w:rsidP="006067DE">
                              <w:r w:rsidRPr="006067DE">
                                <w:rPr>
                                  <w:b/>
                                  <w:bCs/>
                                </w:rPr>
                                <w:lastRenderedPageBreak/>
                                <w:t>LINKEDIN</w:t>
                              </w:r>
                            </w:p>
                            <w:p w14:paraId="6E9817AD" w14:textId="77777777" w:rsidR="006067DE" w:rsidRPr="006067DE" w:rsidRDefault="006067DE" w:rsidP="006067DE">
                              <w:hyperlink r:id="rId14" w:tgtFrame="_blank" w:history="1">
                                <w:r w:rsidRPr="006067DE">
                                  <w:rPr>
                                    <w:rStyle w:val="Hyperlink"/>
                                    <w:b/>
                                    <w:bCs/>
                                  </w:rPr>
                                  <w:t>Asking Your Clients Thoughtful Questions</w:t>
                                </w:r>
                              </w:hyperlink>
                            </w:p>
                            <w:p w14:paraId="5BD1492C" w14:textId="77777777" w:rsidR="006067DE" w:rsidRPr="006067DE" w:rsidRDefault="006067DE" w:rsidP="006067DE">
                              <w:r w:rsidRPr="006067DE">
                                <w:t>What are some of the top questions you ask clients to prompt a meaningful conversation? Share in the comments!</w:t>
                              </w:r>
                            </w:p>
                          </w:tc>
                        </w:tr>
                      </w:tbl>
                      <w:p w14:paraId="6830AC2E" w14:textId="77777777" w:rsidR="006067DE" w:rsidRPr="006067DE" w:rsidRDefault="006067DE" w:rsidP="006067DE"/>
                    </w:tc>
                  </w:tr>
                </w:tbl>
                <w:p w14:paraId="74529B40" w14:textId="77777777" w:rsidR="006067DE" w:rsidRPr="006067DE" w:rsidRDefault="006067DE" w:rsidP="006067DE"/>
              </w:tc>
            </w:tr>
          </w:tbl>
          <w:p w14:paraId="3F9269B8" w14:textId="77777777" w:rsidR="006067DE" w:rsidRPr="006067DE" w:rsidRDefault="006067DE" w:rsidP="006067DE"/>
        </w:tc>
      </w:tr>
    </w:tbl>
    <w:p w14:paraId="432C79E8" w14:textId="77777777" w:rsidR="006067DE" w:rsidRDefault="006067DE"/>
    <w:sectPr w:rsidR="00606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DE"/>
    <w:rsid w:val="006067DE"/>
    <w:rsid w:val="00BD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9B342"/>
  <w15:chartTrackingRefBased/>
  <w15:docId w15:val="{F1E2D9A8-AF81-47E5-B79C-48A9A20E8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67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67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67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67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67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67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67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67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67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67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67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67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67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67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67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67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67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67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67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67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67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67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67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67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67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67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67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67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67D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067D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67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8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8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0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1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1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7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6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4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6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0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6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1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75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8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7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app.go.emoneyadvisor.com/e/er?utm_campaign=CC_L1_Best_Practices_May_2025_A&amp;utm_medium=email&amp;utm_source=Eloqua&amp;s=225884627&amp;lid=9599&amp;elqTrackId=A6E2F5F4E04DF46603BB735F552B4ABD&amp;elq=a13984512a0a4d02a3ccb6d8aaac3b59&amp;elqaid=5698&amp;elqat=1&amp;elqak=8AF58CBCDC5284D066F94790ED174E5C8A91EE39D8FA57B2CB10B269C341567259F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.go.emoneyadvisor.com/e/er?utm_campaign=CC_L1_Best_Practices_May_2025_A&amp;utm_medium=email&amp;utm_source=Eloqua&amp;s=225884627&amp;lid=9596&amp;elqTrackId=37D9050570B1793ECD3A9A4B5705D145&amp;elq=a13984512a0a4d02a3ccb6d8aaac3b59&amp;elqaid=5698&amp;elqat=1&amp;elqak=8AF540C55C334F9BA729E35E4F6C43273206EE39D8FA57B2CB10B269C341567259F0" TargetMode="External"/><Relationship Id="rId12" Type="http://schemas.openxmlformats.org/officeDocument/2006/relationships/hyperlink" Target="https://app.go.emoneyadvisor.com/e/er?utm_campaign=CC_L1_Best_Practices_May_2025_A&amp;utm_medium=email&amp;utm_source=Eloqua&amp;s=225884627&amp;lid=9597&amp;elqTrackId=964DAEE5F130DE7DDA85B149D5835875&amp;elq=a13984512a0a4d02a3ccb6d8aaac3b59&amp;elqaid=5698&amp;elqat=1&amp;elqak=8AF5CB30CC251421F960CD40A82B008802A7EE39D8FA57B2CB10B269C341567259F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money.seismic.com/app?utm_campaign=CC_L1_Best_Practices_May_2025_A&amp;utm_medium=email&amp;utm_source=Eloqua&amp;ContentId=4d2f0c53-884a-4604-9201-d29f37df9fbd&amp;elqTrackId=4965FCB330F329F682136992F6D81CCF&amp;elq=a13984512a0a4d02a3ccb6d8aaac3b59&amp;elqaid=5698&amp;elqat=1&amp;elqCampaignId=&amp;elqak=8AF58F7CCB3F24E1F1ED33B73B0A9761A344EE39D8FA57B2CB10B269C341567259F0" TargetMode="External"/><Relationship Id="rId11" Type="http://schemas.openxmlformats.org/officeDocument/2006/relationships/hyperlink" Target="https://app.go.emoneyadvisor.com/e/er?utm_campaign=CC_L1_Best_Practices_May_2025_A&amp;utm_medium=email&amp;utm_source=Eloqua&amp;s=225884627&amp;lid=9353&amp;elqTrackId=1DF7EB482496B1345E0AA67A6949C657&amp;elq=a13984512a0a4d02a3ccb6d8aaac3b59&amp;elqaid=5698&amp;elqat=1&amp;elqak=8AF51D47A4056C4EE583EADBB3CCAB2B28CCEE39D8FA57B2CB10B269C341567259F0" TargetMode="External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app.go.emoneyadvisor.com/e/er?utm_campaign=CC_L1_Best_Practices_May_2025_A&amp;utm_medium=email&amp;utm_source=Eloqua&amp;s=225884627&amp;lid=9412&amp;elqTrackId=62DBDA9C5035F33E01E1929DF9A1A8B3&amp;elq=a13984512a0a4d02a3ccb6d8aaac3b59&amp;elqaid=5698&amp;elqat=1&amp;elqak=8AF5D38A073BCE43E0A4F11B7DFCD5385D1EEE39D8FA57B2CB10B269C341567259F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app.go.emoneyadvisor.com/e/er?utm_campaign=CC_L1_Best_Practices_May_2025_A&amp;utm_medium=email&amp;utm_source=Eloqua&amp;s=225884627&amp;lid=9596&amp;elqTrackId=05720C550DC2B8A498192059E93B73BF&amp;elq=a13984512a0a4d02a3ccb6d8aaac3b59&amp;elqaid=5698&amp;elqat=1&amp;elqak=8AF5F6DB6280CECF46736B43705C5958F4ADEE39D8FA57B2CB10B269C341567259F0" TargetMode="External"/><Relationship Id="rId14" Type="http://schemas.openxmlformats.org/officeDocument/2006/relationships/hyperlink" Target="https://app.go.emoneyadvisor.com/e/er?utm_campaign=CC_L1_Best_Practices_May_2025_A&amp;utm_medium=email&amp;utm_source=Eloqua&amp;s=225884627&amp;lid=9598&amp;elqTrackId=3AC56CDE769AD647A09CA5F35EFCB704&amp;elq=a13984512a0a4d02a3ccb6d8aaac3b59&amp;elqaid=5698&amp;elqat=1&amp;elqak=8AF52183318D4CA9A88EAE8BF84BB8AB0129EE39D8FA57B2CB10B269C341567259F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3638</Characters>
  <Application>Microsoft Office Word</Application>
  <DocSecurity>0</DocSecurity>
  <Lines>30</Lines>
  <Paragraphs>8</Paragraphs>
  <ScaleCrop>false</ScaleCrop>
  <Company>eMoney Advisor LLC.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Rita</dc:creator>
  <cp:keywords/>
  <dc:description/>
  <cp:lastModifiedBy>Kristina Rita</cp:lastModifiedBy>
  <cp:revision>1</cp:revision>
  <dcterms:created xsi:type="dcterms:W3CDTF">2025-06-02T14:20:00Z</dcterms:created>
  <dcterms:modified xsi:type="dcterms:W3CDTF">2025-06-02T14:21:00Z</dcterms:modified>
</cp:coreProperties>
</file>